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65D48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sz w:val="19"/>
          <w:szCs w:val="19"/>
          <w:lang w:val="en-GB"/>
        </w:rPr>
      </w:pPr>
      <w:r w:rsidRPr="004B1CD3">
        <w:rPr>
          <w:rFonts w:ascii="Times" w:hAnsi="Times" w:cs="Arial"/>
          <w:b/>
          <w:bCs/>
          <w:sz w:val="44"/>
          <w:szCs w:val="44"/>
          <w:lang w:val="en-GB"/>
        </w:rPr>
        <w:t>Glossary</w:t>
      </w:r>
      <w:r>
        <w:rPr>
          <w:rFonts w:ascii="Times" w:hAnsi="Times" w:cs="Arial"/>
          <w:b/>
          <w:bCs/>
          <w:sz w:val="44"/>
          <w:szCs w:val="44"/>
          <w:lang w:val="en-GB"/>
        </w:rPr>
        <w:t xml:space="preserve"> of Terms for Energy Billing</w:t>
      </w:r>
    </w:p>
    <w:p w14:paraId="2F557F47" w14:textId="77777777" w:rsidR="00A42911" w:rsidRPr="00823791" w:rsidRDefault="00A42911" w:rsidP="00823791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GB"/>
        </w:rPr>
      </w:pPr>
    </w:p>
    <w:p w14:paraId="7E00A4C0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Availability Charge 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is a charge the distribution company makes for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providing an electricity supply connection to your site, up to an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agreed maximum electrical load (kVA)</w:t>
      </w:r>
    </w:p>
    <w:p w14:paraId="79BD5168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color w:val="191919"/>
          <w:sz w:val="22"/>
          <w:szCs w:val="22"/>
          <w:lang w:val="en-GB"/>
        </w:rPr>
        <w:t> </w:t>
      </w:r>
    </w:p>
    <w:p w14:paraId="6EE90621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Climate Change Levy (CCL) 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is an amount equivalent to all climate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change levy payable in respect of the supply calculated according to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the Finance Act 2000 and all relevant secondary legislation and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guidance thereto</w:t>
      </w:r>
    </w:p>
    <w:p w14:paraId="7C9D09DC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color w:val="191919"/>
          <w:sz w:val="22"/>
          <w:szCs w:val="22"/>
          <w:lang w:val="en-GB"/>
        </w:rPr>
        <w:t> </w:t>
      </w:r>
    </w:p>
    <w:p w14:paraId="2F903017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Distribution Loss (</w:t>
      </w:r>
      <w:proofErr w:type="spellStart"/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Dloss</w:t>
      </w:r>
      <w:proofErr w:type="spellEnd"/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) 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is energy lost as heat as it travels down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the distribution wires. These losses increase with the distance the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electricity has to travel</w:t>
      </w:r>
    </w:p>
    <w:p w14:paraId="49919CE0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color w:val="191919"/>
          <w:sz w:val="22"/>
          <w:szCs w:val="22"/>
          <w:lang w:val="en-GB"/>
        </w:rPr>
        <w:t> </w:t>
      </w:r>
    </w:p>
    <w:p w14:paraId="723C11E4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Distribution Use of System (</w:t>
      </w:r>
      <w:proofErr w:type="spellStart"/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DUoS</w:t>
      </w:r>
      <w:proofErr w:type="spellEnd"/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) 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is the charge the distribution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company makes for distributing power to the end user over its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network</w:t>
      </w:r>
    </w:p>
    <w:p w14:paraId="058753D7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color w:val="191919"/>
          <w:sz w:val="22"/>
          <w:szCs w:val="22"/>
          <w:lang w:val="en-GB"/>
        </w:rPr>
        <w:t> </w:t>
      </w:r>
    </w:p>
    <w:p w14:paraId="33A803E5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Feed in Tariff (FIT) 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is a charge to cover the cost of meeting the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supplier’s obligations under the Feed in Tariffs (Specified Maximum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Capacity and Functions) Order 2010 as amended from time to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Time</w:t>
      </w:r>
    </w:p>
    <w:p w14:paraId="4FAA4926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color w:val="191919"/>
          <w:sz w:val="22"/>
          <w:szCs w:val="22"/>
          <w:lang w:val="en-GB"/>
        </w:rPr>
        <w:t> </w:t>
      </w:r>
    </w:p>
    <w:p w14:paraId="52C5124B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Hydro (also known as AAHEDC) 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is a charge to cover the tariff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levied by National Grid from time to time in accordance with its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Transmission Licence as part of the scheme for providing assistance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with the high costs of distributing electricity in certain areas</w:t>
      </w:r>
    </w:p>
    <w:p w14:paraId="6D5B98C4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color w:val="191919"/>
          <w:sz w:val="22"/>
          <w:szCs w:val="22"/>
          <w:lang w:val="en-GB"/>
        </w:rPr>
        <w:t> </w:t>
      </w:r>
    </w:p>
    <w:p w14:paraId="6E008904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Metering Agent Charges 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are charges associated with the metering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for each site, including but not limited to: charges made by your Meter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Operator, Data Collector, Data Aggregator, Meter Administrator and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Settlement Agency Fees</w:t>
      </w:r>
    </w:p>
    <w:p w14:paraId="25955B5C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color w:val="191919"/>
          <w:sz w:val="22"/>
          <w:szCs w:val="22"/>
          <w:lang w:val="en-GB"/>
        </w:rPr>
        <w:t> </w:t>
      </w:r>
    </w:p>
    <w:p w14:paraId="6DDEAA77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Reactive Power Charge 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is a charge the distribution company makes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for power which has not been efficiently converted (wasted power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within the system) when operating certain types of equipment within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the system) when operating certain types of equipment</w:t>
      </w:r>
    </w:p>
    <w:p w14:paraId="123E9377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color w:val="191919"/>
          <w:sz w:val="22"/>
          <w:szCs w:val="22"/>
          <w:lang w:val="en-GB"/>
        </w:rPr>
        <w:t> </w:t>
      </w:r>
    </w:p>
    <w:p w14:paraId="05ABF601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Renewables Obligation (RO) 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is a charge to cover the cost of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meeting the suppliers’ obligations under the Renewables Obligation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Order 2009 as amended from time to time</w:t>
      </w:r>
    </w:p>
    <w:p w14:paraId="31093990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color w:val="191919"/>
          <w:sz w:val="22"/>
          <w:szCs w:val="22"/>
          <w:lang w:val="en-GB"/>
        </w:rPr>
        <w:t> </w:t>
      </w:r>
    </w:p>
    <w:p w14:paraId="49F221CD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Settlement Agency Fee 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 xml:space="preserve">is a charge levied by </w:t>
      </w:r>
      <w:proofErr w:type="spellStart"/>
      <w:r w:rsidRPr="004B1CD3">
        <w:rPr>
          <w:rFonts w:ascii="Arial" w:hAnsi="Arial" w:cs="Arial"/>
          <w:color w:val="191919"/>
          <w:sz w:val="22"/>
          <w:szCs w:val="22"/>
          <w:lang w:val="en-GB"/>
        </w:rPr>
        <w:t>Elexon</w:t>
      </w:r>
      <w:proofErr w:type="spellEnd"/>
      <w:r w:rsidRPr="004B1CD3">
        <w:rPr>
          <w:rFonts w:ascii="Arial" w:hAnsi="Arial" w:cs="Arial"/>
          <w:color w:val="191919"/>
          <w:sz w:val="22"/>
          <w:szCs w:val="22"/>
          <w:lang w:val="en-GB"/>
        </w:rPr>
        <w:t xml:space="preserve"> for maintaining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half hourly settlements. The charge is applied to each HH MPAN,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irrespective of chosen Agent</w:t>
      </w:r>
    </w:p>
    <w:p w14:paraId="6907A32A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color w:val="191919"/>
          <w:sz w:val="22"/>
          <w:szCs w:val="22"/>
          <w:lang w:val="en-GB"/>
        </w:rPr>
        <w:t> </w:t>
      </w:r>
    </w:p>
    <w:p w14:paraId="650B7F76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Standing Charge 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is a fixed charge applicable to each MPAN</w:t>
      </w:r>
    </w:p>
    <w:p w14:paraId="0525BFB7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color w:val="191919"/>
          <w:sz w:val="22"/>
          <w:szCs w:val="22"/>
          <w:lang w:val="en-GB"/>
        </w:rPr>
        <w:t> </w:t>
      </w:r>
    </w:p>
    <w:p w14:paraId="14388DE6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Transmission Loss (</w:t>
      </w:r>
      <w:proofErr w:type="spellStart"/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Tloss</w:t>
      </w:r>
      <w:proofErr w:type="spellEnd"/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) 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is energy lost as heat as it travels down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the transmission wires. These losses increase with the distance the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electricity has to travel</w:t>
      </w:r>
    </w:p>
    <w:p w14:paraId="58A86FCB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color w:val="191919"/>
          <w:sz w:val="22"/>
          <w:szCs w:val="22"/>
          <w:lang w:val="en-GB"/>
        </w:rPr>
        <w:t> </w:t>
      </w:r>
    </w:p>
    <w:p w14:paraId="50D5A446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Transmission Network Use of System (</w:t>
      </w:r>
      <w:proofErr w:type="spellStart"/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TNUoS</w:t>
      </w:r>
      <w:proofErr w:type="spellEnd"/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) 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is the charge the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transmission company makes for transmitting power to the end user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over its network</w:t>
      </w:r>
    </w:p>
    <w:p w14:paraId="2F0BEFFE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color w:val="191919"/>
          <w:sz w:val="22"/>
          <w:szCs w:val="22"/>
          <w:lang w:val="en-GB"/>
        </w:rPr>
        <w:t> </w:t>
      </w:r>
    </w:p>
    <w:p w14:paraId="78029F96" w14:textId="77777777" w:rsidR="00A42911" w:rsidRPr="004B1CD3" w:rsidRDefault="00A42911" w:rsidP="00823791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4B1CD3">
        <w:rPr>
          <w:rFonts w:ascii="Arial" w:hAnsi="Arial" w:cs="Arial"/>
          <w:b/>
          <w:bCs/>
          <w:color w:val="191919"/>
          <w:sz w:val="22"/>
          <w:szCs w:val="22"/>
          <w:lang w:val="en-GB"/>
        </w:rPr>
        <w:t>Triad Charging Method 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>indicates which Triad charging method is</w:t>
      </w:r>
      <w:r>
        <w:rPr>
          <w:rFonts w:ascii="Arial" w:hAnsi="Arial" w:cs="Arial"/>
          <w:color w:val="191919"/>
          <w:sz w:val="22"/>
          <w:szCs w:val="22"/>
          <w:lang w:val="en-GB"/>
        </w:rPr>
        <w:t xml:space="preserve"> </w:t>
      </w:r>
      <w:r w:rsidRPr="004B1CD3">
        <w:rPr>
          <w:rFonts w:ascii="Arial" w:hAnsi="Arial" w:cs="Arial"/>
          <w:color w:val="191919"/>
          <w:sz w:val="22"/>
          <w:szCs w:val="22"/>
          <w:lang w:val="en-GB"/>
        </w:rPr>
        <w:t xml:space="preserve">applicable for attributing </w:t>
      </w:r>
      <w:proofErr w:type="spellStart"/>
      <w:r w:rsidRPr="004B1CD3">
        <w:rPr>
          <w:rFonts w:ascii="Arial" w:hAnsi="Arial" w:cs="Arial"/>
          <w:color w:val="191919"/>
          <w:sz w:val="22"/>
          <w:szCs w:val="22"/>
          <w:lang w:val="en-GB"/>
        </w:rPr>
        <w:t>TNUoS</w:t>
      </w:r>
      <w:proofErr w:type="spellEnd"/>
      <w:r w:rsidRPr="004B1CD3">
        <w:rPr>
          <w:rFonts w:ascii="Arial" w:hAnsi="Arial" w:cs="Arial"/>
          <w:color w:val="191919"/>
          <w:sz w:val="22"/>
          <w:szCs w:val="22"/>
          <w:lang w:val="en-GB"/>
        </w:rPr>
        <w:t xml:space="preserve"> charges to each MPAN</w:t>
      </w:r>
    </w:p>
    <w:p w14:paraId="17B1462A" w14:textId="77777777" w:rsidR="00A42911" w:rsidRDefault="00A42911">
      <w:pPr>
        <w:rPr>
          <w:rFonts w:ascii="Arial" w:hAnsi="Arial" w:cs="Arial"/>
          <w:sz w:val="22"/>
          <w:szCs w:val="22"/>
        </w:rPr>
      </w:pPr>
    </w:p>
    <w:p w14:paraId="06DD78BA" w14:textId="77777777" w:rsidR="00004E5A" w:rsidRDefault="00004E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</w:t>
      </w:r>
      <w:r w:rsidRPr="00004E5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c</w:t>
      </w:r>
      <w:r w:rsidRPr="00004E5A">
        <w:rPr>
          <w:rFonts w:ascii="Arial" w:hAnsi="Arial" w:cs="Arial"/>
          <w:b/>
          <w:sz w:val="22"/>
          <w:szCs w:val="22"/>
        </w:rPr>
        <w:t>ts for Difference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4E5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C</w:t>
      </w:r>
      <w:r w:rsidRPr="00004E5A">
        <w:rPr>
          <w:rFonts w:ascii="Arial" w:hAnsi="Arial" w:cs="Arial"/>
          <w:sz w:val="22"/>
          <w:szCs w:val="22"/>
        </w:rPr>
        <w:t xml:space="preserve">ontract </w:t>
      </w:r>
      <w:r>
        <w:rPr>
          <w:rFonts w:ascii="Arial" w:hAnsi="Arial" w:cs="Arial"/>
          <w:sz w:val="22"/>
          <w:szCs w:val="22"/>
        </w:rPr>
        <w:t>for D</w:t>
      </w:r>
      <w:r w:rsidRPr="00004E5A">
        <w:rPr>
          <w:rFonts w:ascii="Arial" w:hAnsi="Arial" w:cs="Arial"/>
          <w:sz w:val="22"/>
          <w:szCs w:val="22"/>
        </w:rPr>
        <w:t>ifference (CFD)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4E5A">
        <w:rPr>
          <w:rFonts w:ascii="Arial" w:hAnsi="Arial" w:cs="Arial"/>
          <w:sz w:val="22"/>
          <w:szCs w:val="22"/>
        </w:rPr>
        <w:t>gives greater certainty and stability of revenues to electricity generators by reducing their exposure to volatile wholesale prices.</w:t>
      </w:r>
    </w:p>
    <w:p w14:paraId="796D2546" w14:textId="77777777" w:rsidR="00004E5A" w:rsidRDefault="00004E5A">
      <w:pPr>
        <w:rPr>
          <w:rFonts w:ascii="Arial" w:hAnsi="Arial" w:cs="Arial"/>
          <w:sz w:val="22"/>
          <w:szCs w:val="22"/>
        </w:rPr>
      </w:pPr>
    </w:p>
    <w:p w14:paraId="6B3BE6FD" w14:textId="77777777" w:rsidR="00004E5A" w:rsidRPr="00004E5A" w:rsidRDefault="00004E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Capacity </w:t>
      </w:r>
      <w:proofErr w:type="gramStart"/>
      <w:r>
        <w:rPr>
          <w:rFonts w:ascii="Arial" w:hAnsi="Arial" w:cs="Arial"/>
          <w:sz w:val="22"/>
          <w:szCs w:val="22"/>
        </w:rPr>
        <w:t>Mechanism  is</w:t>
      </w:r>
      <w:proofErr w:type="gramEnd"/>
      <w:r>
        <w:rPr>
          <w:rFonts w:ascii="Arial" w:hAnsi="Arial" w:cs="Arial"/>
          <w:sz w:val="22"/>
          <w:szCs w:val="22"/>
        </w:rPr>
        <w:t xml:space="preserve"> one of the fundamental pillars of the Electricity Market Reform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 ,with the aim of delivering reliable affordable low carbon electricity to the GB consumer and security of supply to meet demand .</w:t>
      </w:r>
      <w:bookmarkStart w:id="0" w:name="_GoBack"/>
      <w:bookmarkEnd w:id="0"/>
    </w:p>
    <w:sectPr w:rsidR="00004E5A" w:rsidRPr="00004E5A" w:rsidSect="004B1CD3">
      <w:pgSz w:w="11900" w:h="16840"/>
      <w:pgMar w:top="1440" w:right="1474" w:bottom="14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Malgun Gothic Semilight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91"/>
    <w:rsid w:val="00004E5A"/>
    <w:rsid w:val="00060156"/>
    <w:rsid w:val="000E50AC"/>
    <w:rsid w:val="001F16BB"/>
    <w:rsid w:val="004B1CD3"/>
    <w:rsid w:val="00823791"/>
    <w:rsid w:val="009C2743"/>
    <w:rsid w:val="00A42911"/>
    <w:rsid w:val="00B44338"/>
    <w:rsid w:val="00E6701F"/>
    <w:rsid w:val="00F3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33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23791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237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Macintosh Word</Application>
  <DocSecurity>0</DocSecurity>
  <Lines>20</Lines>
  <Paragraphs>5</Paragraphs>
  <ScaleCrop>false</ScaleCrop>
  <Company>Ty Mor Consultants Ltd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Moore</dc:creator>
  <cp:keywords/>
  <dc:description/>
  <cp:lastModifiedBy>David Moore</cp:lastModifiedBy>
  <cp:revision>2</cp:revision>
  <dcterms:created xsi:type="dcterms:W3CDTF">2018-06-13T15:19:00Z</dcterms:created>
  <dcterms:modified xsi:type="dcterms:W3CDTF">2018-06-13T15:19:00Z</dcterms:modified>
</cp:coreProperties>
</file>